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D" w:rsidRDefault="000D3CFD" w:rsidP="000D3CF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FD" w:rsidRDefault="000D3CFD" w:rsidP="000D3CFD">
      <w:pPr>
        <w:jc w:val="center"/>
      </w:pPr>
    </w:p>
    <w:p w:rsidR="000D3CFD" w:rsidRDefault="000D3CFD" w:rsidP="000D3CFD">
      <w:pPr>
        <w:pStyle w:val="4"/>
        <w:jc w:val="center"/>
      </w:pPr>
      <w:r>
        <w:t>АДМИНИСТРАЦИЯ</w:t>
      </w:r>
    </w:p>
    <w:p w:rsidR="000D3CFD" w:rsidRPr="00343587" w:rsidRDefault="000D3CFD" w:rsidP="000D3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</w:p>
    <w:p w:rsidR="000D3CFD" w:rsidRPr="00742C9C" w:rsidRDefault="000D3CFD" w:rsidP="000D3CF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РАЙОНА</w:t>
      </w:r>
    </w:p>
    <w:p w:rsidR="000D3CFD" w:rsidRDefault="000D3CFD" w:rsidP="000D3CFD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0D3CFD" w:rsidRDefault="000D3CFD" w:rsidP="000D3CF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422334" w:rsidRPr="00B215FD" w:rsidRDefault="00422334" w:rsidP="00422334">
      <w:pPr>
        <w:framePr w:w="4181" w:h="335" w:hSpace="180" w:wrap="auto" w:vAnchor="page" w:hAnchor="page" w:x="1396" w:y="4081"/>
        <w:tabs>
          <w:tab w:val="left" w:pos="1985"/>
        </w:tabs>
        <w:rPr>
          <w:sz w:val="28"/>
          <w:szCs w:val="28"/>
        </w:rPr>
      </w:pPr>
      <w:r w:rsidRPr="00B215FD">
        <w:rPr>
          <w:sz w:val="28"/>
          <w:szCs w:val="28"/>
        </w:rPr>
        <w:t xml:space="preserve">от </w:t>
      </w:r>
      <w:r>
        <w:rPr>
          <w:sz w:val="28"/>
          <w:szCs w:val="28"/>
        </w:rPr>
        <w:t>10.06.2022</w:t>
      </w:r>
      <w:r w:rsidRPr="00B215FD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0D3CFD" w:rsidRDefault="000D3CFD" w:rsidP="000D3CFD">
      <w:pPr>
        <w:jc w:val="center"/>
      </w:pPr>
    </w:p>
    <w:p w:rsidR="000D3CFD" w:rsidRPr="005C3AB8" w:rsidRDefault="000D3CFD" w:rsidP="000D3CFD">
      <w:pPr>
        <w:jc w:val="center"/>
        <w:rPr>
          <w:sz w:val="28"/>
          <w:szCs w:val="28"/>
        </w:rPr>
      </w:pPr>
      <w:r>
        <w:t xml:space="preserve">          </w:t>
      </w:r>
    </w:p>
    <w:p w:rsidR="000D3CFD" w:rsidRDefault="000D3CFD" w:rsidP="000D3CFD">
      <w:pPr>
        <w:jc w:val="center"/>
      </w:pPr>
      <w:r>
        <w:t xml:space="preserve">                                           </w:t>
      </w:r>
    </w:p>
    <w:p w:rsidR="000D3CFD" w:rsidRDefault="000D3CFD" w:rsidP="000D3CFD">
      <w:pPr>
        <w:pStyle w:val="a5"/>
        <w:jc w:val="center"/>
        <w:rPr>
          <w:sz w:val="20"/>
        </w:rPr>
      </w:pPr>
      <w:r>
        <w:rPr>
          <w:sz w:val="20"/>
        </w:rPr>
        <w:t>с</w:t>
      </w:r>
      <w:proofErr w:type="gramStart"/>
      <w:r>
        <w:rPr>
          <w:sz w:val="20"/>
        </w:rPr>
        <w:t>.А</w:t>
      </w:r>
      <w:proofErr w:type="gramEnd"/>
      <w:r>
        <w:rPr>
          <w:sz w:val="20"/>
        </w:rPr>
        <w:t>лександровка</w:t>
      </w:r>
    </w:p>
    <w:p w:rsidR="000D3CFD" w:rsidRDefault="000D3CFD" w:rsidP="000D3CFD">
      <w:pPr>
        <w:pStyle w:val="4"/>
        <w:rPr>
          <w:b w:val="0"/>
        </w:rPr>
      </w:pPr>
    </w:p>
    <w:p w:rsidR="000D3CFD" w:rsidRPr="001D566D" w:rsidRDefault="000D3CFD" w:rsidP="000D3CFD"/>
    <w:p w:rsidR="00070A34" w:rsidRDefault="000D3CFD">
      <w:pPr>
        <w:rPr>
          <w:b/>
          <w:bCs/>
          <w:sz w:val="28"/>
          <w:szCs w:val="28"/>
          <w:lang w:eastAsia="zh-CN"/>
        </w:rPr>
      </w:pPr>
      <w:r w:rsidRPr="00974CA4">
        <w:rPr>
          <w:b/>
          <w:sz w:val="28"/>
          <w:szCs w:val="28"/>
        </w:rPr>
        <w:t xml:space="preserve">Об установлении форм отчетности и пороговых значений </w:t>
      </w:r>
      <w:proofErr w:type="gramStart"/>
      <w:r w:rsidRPr="00974CA4">
        <w:rPr>
          <w:b/>
          <w:sz w:val="28"/>
          <w:szCs w:val="28"/>
        </w:rPr>
        <w:t xml:space="preserve">показателей эффективности использования </w:t>
      </w:r>
      <w:r w:rsidRPr="00974CA4">
        <w:rPr>
          <w:b/>
          <w:bCs/>
          <w:sz w:val="28"/>
          <w:szCs w:val="28"/>
        </w:rPr>
        <w:t>недвижимого имущества казны</w:t>
      </w:r>
      <w:proofErr w:type="gramEnd"/>
      <w:r w:rsidRPr="00974C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Золотостепского </w:t>
      </w:r>
      <w:r w:rsidRPr="00974CA4">
        <w:rPr>
          <w:b/>
          <w:bCs/>
          <w:sz w:val="28"/>
          <w:szCs w:val="28"/>
        </w:rPr>
        <w:t>муниципального образования С</w:t>
      </w:r>
      <w:r>
        <w:rPr>
          <w:b/>
          <w:bCs/>
          <w:sz w:val="28"/>
          <w:szCs w:val="28"/>
        </w:rPr>
        <w:t>оветс</w:t>
      </w:r>
      <w:r w:rsidRPr="00974CA4">
        <w:rPr>
          <w:b/>
          <w:bCs/>
          <w:sz w:val="28"/>
          <w:szCs w:val="28"/>
        </w:rPr>
        <w:t>кого муниципального района</w:t>
      </w:r>
      <w:r w:rsidRPr="00974CA4">
        <w:rPr>
          <w:b/>
          <w:bCs/>
          <w:sz w:val="28"/>
          <w:szCs w:val="28"/>
          <w:lang w:eastAsia="zh-CN"/>
        </w:rPr>
        <w:t xml:space="preserve"> Саратовской области</w:t>
      </w:r>
    </w:p>
    <w:p w:rsidR="000D3CFD" w:rsidRDefault="000D3CFD">
      <w:pPr>
        <w:rPr>
          <w:b/>
          <w:bCs/>
          <w:sz w:val="28"/>
          <w:szCs w:val="28"/>
          <w:lang w:eastAsia="zh-CN"/>
        </w:rPr>
      </w:pPr>
    </w:p>
    <w:p w:rsidR="000D3CFD" w:rsidRPr="00974CA4" w:rsidRDefault="000D3CFD" w:rsidP="000D3CFD">
      <w:pPr>
        <w:shd w:val="clear" w:color="auto" w:fill="FFFFFF"/>
        <w:ind w:firstLine="708"/>
        <w:jc w:val="both"/>
      </w:pPr>
      <w:proofErr w:type="gramStart"/>
      <w:r w:rsidRPr="00974CA4">
        <w:rPr>
          <w:bCs/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распоряжением Правительства РФ от 12.10.2020 </w:t>
      </w:r>
      <w:r>
        <w:rPr>
          <w:bCs/>
          <w:sz w:val="28"/>
          <w:szCs w:val="28"/>
          <w:lang w:eastAsia="ar-SA"/>
        </w:rPr>
        <w:t xml:space="preserve">г. </w:t>
      </w:r>
      <w:r w:rsidRPr="00974CA4">
        <w:rPr>
          <w:bCs/>
          <w:sz w:val="28"/>
          <w:szCs w:val="28"/>
          <w:lang w:eastAsia="ar-SA"/>
        </w:rPr>
        <w:t xml:space="preserve">№ 2645-р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им», руководствуясь Уставом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bCs/>
          <w:sz w:val="28"/>
          <w:szCs w:val="28"/>
          <w:lang w:eastAsia="ar-SA"/>
        </w:rPr>
        <w:t>муниципального образования С</w:t>
      </w:r>
      <w:r>
        <w:rPr>
          <w:bCs/>
          <w:sz w:val="28"/>
          <w:szCs w:val="28"/>
          <w:lang w:eastAsia="ar-SA"/>
        </w:rPr>
        <w:t>овет</w:t>
      </w:r>
      <w:r w:rsidRPr="00974CA4">
        <w:rPr>
          <w:bCs/>
          <w:sz w:val="28"/>
          <w:szCs w:val="28"/>
          <w:lang w:eastAsia="ar-SA"/>
        </w:rPr>
        <w:t xml:space="preserve">ского муниципального района Саратовской области, администрация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bCs/>
          <w:sz w:val="28"/>
          <w:szCs w:val="28"/>
          <w:lang w:eastAsia="ar-SA"/>
        </w:rPr>
        <w:t>муниципального образования С</w:t>
      </w:r>
      <w:r>
        <w:rPr>
          <w:bCs/>
          <w:sz w:val="28"/>
          <w:szCs w:val="28"/>
          <w:lang w:eastAsia="ar-SA"/>
        </w:rPr>
        <w:t>о</w:t>
      </w:r>
      <w:r w:rsidRPr="00974CA4">
        <w:rPr>
          <w:bCs/>
          <w:sz w:val="28"/>
          <w:szCs w:val="28"/>
          <w:lang w:eastAsia="ar-SA"/>
        </w:rPr>
        <w:t>в</w:t>
      </w:r>
      <w:r>
        <w:rPr>
          <w:bCs/>
          <w:sz w:val="28"/>
          <w:szCs w:val="28"/>
          <w:lang w:eastAsia="ar-SA"/>
        </w:rPr>
        <w:t>ет</w:t>
      </w:r>
      <w:r w:rsidRPr="00974CA4">
        <w:rPr>
          <w:bCs/>
          <w:sz w:val="28"/>
          <w:szCs w:val="28"/>
          <w:lang w:eastAsia="ar-SA"/>
        </w:rPr>
        <w:t>ского</w:t>
      </w:r>
      <w:proofErr w:type="gramEnd"/>
      <w:r w:rsidRPr="00974CA4">
        <w:rPr>
          <w:bCs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0D3CFD" w:rsidRPr="00974CA4" w:rsidRDefault="000D3CFD" w:rsidP="000D3CFD">
      <w:pPr>
        <w:shd w:val="clear" w:color="auto" w:fill="FFFFFF"/>
        <w:ind w:firstLine="708"/>
        <w:jc w:val="both"/>
      </w:pPr>
      <w:r w:rsidRPr="00974CA4">
        <w:rPr>
          <w:b/>
          <w:sz w:val="28"/>
          <w:szCs w:val="28"/>
        </w:rPr>
        <w:t>ПОСТАНОВЛЯЕТ:</w:t>
      </w:r>
    </w:p>
    <w:p w:rsidR="000D3CFD" w:rsidRPr="00974CA4" w:rsidRDefault="000D3CFD" w:rsidP="000D3CFD">
      <w:pPr>
        <w:ind w:firstLine="709"/>
        <w:jc w:val="both"/>
      </w:pPr>
      <w:r w:rsidRPr="00974CA4">
        <w:rPr>
          <w:sz w:val="28"/>
          <w:szCs w:val="28"/>
        </w:rPr>
        <w:t xml:space="preserve">1. Установить формы отчетности и пороговые значения </w:t>
      </w:r>
      <w:proofErr w:type="gramStart"/>
      <w:r w:rsidRPr="00974CA4">
        <w:rPr>
          <w:sz w:val="28"/>
          <w:szCs w:val="28"/>
        </w:rPr>
        <w:t>показателей эффективности использования недвижимого имущества казны</w:t>
      </w:r>
      <w:proofErr w:type="gramEnd"/>
      <w:r w:rsidRPr="00974CA4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>муниципального образования Сов</w:t>
      </w:r>
      <w:r>
        <w:rPr>
          <w:sz w:val="28"/>
          <w:szCs w:val="28"/>
        </w:rPr>
        <w:t>ет</w:t>
      </w:r>
      <w:r w:rsidRPr="00974CA4">
        <w:rPr>
          <w:sz w:val="28"/>
          <w:szCs w:val="28"/>
        </w:rPr>
        <w:t xml:space="preserve">ского муниципального района Саратовской области согласно приложению к настоящему постановлению. </w:t>
      </w:r>
    </w:p>
    <w:p w:rsidR="000D3CFD" w:rsidRPr="00890B41" w:rsidRDefault="000D3CFD" w:rsidP="000D3CFD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0B41">
        <w:rPr>
          <w:sz w:val="28"/>
          <w:szCs w:val="28"/>
        </w:rPr>
        <w:t xml:space="preserve">. Опубликовать настоящее постановление в порядке, определенном Уставом </w:t>
      </w:r>
      <w:r w:rsidRPr="00AE0EC2">
        <w:rPr>
          <w:sz w:val="28"/>
          <w:szCs w:val="28"/>
        </w:rPr>
        <w:t>Золотостеп</w:t>
      </w:r>
      <w:r w:rsidRPr="00AE0EC2">
        <w:rPr>
          <w:bCs/>
          <w:sz w:val="28"/>
          <w:szCs w:val="28"/>
        </w:rPr>
        <w:t>ского муниципального образования</w:t>
      </w:r>
      <w:r w:rsidRPr="00890B41">
        <w:rPr>
          <w:sz w:val="28"/>
          <w:szCs w:val="28"/>
        </w:rPr>
        <w:t xml:space="preserve"> и на официальном сайте администрации </w:t>
      </w:r>
      <w:r w:rsidRPr="00AE0EC2">
        <w:rPr>
          <w:sz w:val="28"/>
          <w:szCs w:val="28"/>
        </w:rPr>
        <w:t>Золотостеп</w:t>
      </w:r>
      <w:r w:rsidRPr="00AE0EC2">
        <w:rPr>
          <w:bCs/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в сети «Интернет».</w:t>
      </w:r>
    </w:p>
    <w:p w:rsidR="000D3CFD" w:rsidRPr="00890B41" w:rsidRDefault="000D3CFD" w:rsidP="000D3CFD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0B41">
        <w:rPr>
          <w:sz w:val="28"/>
          <w:szCs w:val="28"/>
        </w:rPr>
        <w:t xml:space="preserve">. </w:t>
      </w:r>
      <w:proofErr w:type="gramStart"/>
      <w:r w:rsidRPr="00890B41">
        <w:rPr>
          <w:sz w:val="28"/>
          <w:szCs w:val="28"/>
        </w:rPr>
        <w:t>Контроль за</w:t>
      </w:r>
      <w:proofErr w:type="gramEnd"/>
      <w:r w:rsidRPr="00890B41">
        <w:rPr>
          <w:sz w:val="28"/>
          <w:szCs w:val="28"/>
        </w:rPr>
        <w:t xml:space="preserve"> исполнением настоящего постановления оставляю за собой.              </w:t>
      </w:r>
    </w:p>
    <w:p w:rsidR="000D3CFD" w:rsidRPr="00974CA4" w:rsidRDefault="000D3CFD" w:rsidP="000D3CFD">
      <w:pPr>
        <w:ind w:firstLine="709"/>
        <w:jc w:val="both"/>
        <w:rPr>
          <w:b/>
          <w:sz w:val="28"/>
          <w:szCs w:val="28"/>
        </w:rPr>
      </w:pPr>
    </w:p>
    <w:p w:rsidR="000D3CFD" w:rsidRPr="00974CA4" w:rsidRDefault="000D3CFD" w:rsidP="000D3CFD">
      <w:pPr>
        <w:ind w:firstLine="709"/>
        <w:jc w:val="both"/>
        <w:rPr>
          <w:b/>
          <w:sz w:val="28"/>
          <w:szCs w:val="28"/>
        </w:rPr>
      </w:pPr>
    </w:p>
    <w:p w:rsidR="000D3CFD" w:rsidRPr="00974CA4" w:rsidRDefault="000D3CFD" w:rsidP="000D3CFD">
      <w:pPr>
        <w:rPr>
          <w:b/>
          <w:sz w:val="28"/>
          <w:szCs w:val="28"/>
        </w:rPr>
      </w:pPr>
      <w:r w:rsidRPr="00974CA4">
        <w:rPr>
          <w:b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eastAsia="ar-SA"/>
        </w:rPr>
        <w:t>Золотостеп</w:t>
      </w:r>
      <w:r w:rsidRPr="00A51D1E">
        <w:rPr>
          <w:b/>
          <w:bCs/>
          <w:sz w:val="28"/>
          <w:szCs w:val="28"/>
          <w:lang w:eastAsia="ar-SA"/>
        </w:rPr>
        <w:t>ского</w:t>
      </w:r>
    </w:p>
    <w:p w:rsidR="000D3CFD" w:rsidRPr="00974CA4" w:rsidRDefault="000D3CFD" w:rsidP="000D3CFD">
      <w:pPr>
        <w:sectPr w:rsidR="000D3CFD" w:rsidRPr="00974CA4" w:rsidSect="006620F4">
          <w:pgSz w:w="11906" w:h="16838"/>
          <w:pgMar w:top="709" w:right="849" w:bottom="426" w:left="1134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м</w:t>
      </w:r>
      <w:r w:rsidRPr="00974CA4">
        <w:rPr>
          <w:b/>
          <w:sz w:val="28"/>
          <w:szCs w:val="28"/>
        </w:rPr>
        <w:t>униципального образования</w:t>
      </w:r>
      <w:r w:rsidRPr="00974CA4">
        <w:rPr>
          <w:b/>
          <w:sz w:val="28"/>
          <w:szCs w:val="28"/>
        </w:rPr>
        <w:tab/>
      </w:r>
      <w:r w:rsidRPr="00974CA4">
        <w:rPr>
          <w:b/>
          <w:sz w:val="28"/>
          <w:szCs w:val="28"/>
        </w:rPr>
        <w:tab/>
      </w:r>
      <w:r w:rsidRPr="00974CA4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А.В. Трушин</w:t>
      </w:r>
    </w:p>
    <w:p w:rsidR="000D3CFD" w:rsidRPr="000D3CFD" w:rsidRDefault="000D3CFD" w:rsidP="000D3CFD">
      <w:pPr>
        <w:pStyle w:val="aa"/>
        <w:ind w:left="5812"/>
        <w:rPr>
          <w:rFonts w:ascii="Times New Roman" w:hAnsi="Times New Roman"/>
        </w:rPr>
      </w:pPr>
      <w:r w:rsidRPr="000D3CFD">
        <w:rPr>
          <w:rFonts w:ascii="Times New Roman" w:hAnsi="Times New Roman"/>
        </w:rPr>
        <w:lastRenderedPageBreak/>
        <w:t>Приложение к постановлению</w:t>
      </w:r>
    </w:p>
    <w:p w:rsidR="000D3CFD" w:rsidRPr="000D3CFD" w:rsidRDefault="000D3CFD" w:rsidP="000D3CFD">
      <w:pPr>
        <w:pStyle w:val="aa"/>
        <w:ind w:left="5812"/>
        <w:rPr>
          <w:rFonts w:ascii="Times New Roman" w:hAnsi="Times New Roman"/>
        </w:rPr>
      </w:pPr>
      <w:r w:rsidRPr="000D3CFD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Золотостепс</w:t>
      </w:r>
      <w:r w:rsidRPr="000D3CFD">
        <w:rPr>
          <w:rFonts w:ascii="Times New Roman" w:hAnsi="Times New Roman"/>
          <w:bCs/>
          <w:lang w:eastAsia="ar-SA"/>
        </w:rPr>
        <w:t>кого</w:t>
      </w:r>
    </w:p>
    <w:p w:rsidR="000D3CFD" w:rsidRPr="000D3CFD" w:rsidRDefault="000D3CFD" w:rsidP="000D3CFD">
      <w:pPr>
        <w:pStyle w:val="aa"/>
        <w:ind w:left="5812"/>
        <w:rPr>
          <w:rFonts w:ascii="Times New Roman" w:hAnsi="Times New Roman"/>
        </w:rPr>
      </w:pPr>
      <w:r w:rsidRPr="000D3CFD">
        <w:rPr>
          <w:rFonts w:ascii="Times New Roman" w:hAnsi="Times New Roman"/>
        </w:rPr>
        <w:t xml:space="preserve">муниципального образования </w:t>
      </w:r>
    </w:p>
    <w:p w:rsidR="000D3CFD" w:rsidRPr="000D3CFD" w:rsidRDefault="000D3CFD" w:rsidP="000D3CFD">
      <w:pPr>
        <w:pStyle w:val="aa"/>
        <w:ind w:left="5812"/>
        <w:rPr>
          <w:rFonts w:ascii="Times New Roman" w:hAnsi="Times New Roman"/>
        </w:rPr>
      </w:pPr>
      <w:r w:rsidRPr="000D3CFD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10</w:t>
      </w:r>
      <w:r w:rsidRPr="000D3CF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</w:t>
      </w:r>
      <w:r w:rsidRPr="000D3CFD">
        <w:rPr>
          <w:rFonts w:ascii="Times New Roman" w:hAnsi="Times New Roman"/>
        </w:rPr>
        <w:t>я 202</w:t>
      </w:r>
      <w:r>
        <w:rPr>
          <w:rFonts w:ascii="Times New Roman" w:hAnsi="Times New Roman"/>
        </w:rPr>
        <w:t>2</w:t>
      </w:r>
      <w:r w:rsidRPr="000D3CFD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 xml:space="preserve"> 26</w:t>
      </w:r>
    </w:p>
    <w:p w:rsidR="000D3CFD" w:rsidRPr="00974CA4" w:rsidRDefault="000D3CFD" w:rsidP="000D3CFD">
      <w:pPr>
        <w:pStyle w:val="aa"/>
        <w:ind w:left="4248"/>
        <w:jc w:val="right"/>
        <w:rPr>
          <w:rFonts w:ascii="Times New Roman" w:hAnsi="Times New Roman"/>
          <w:sz w:val="28"/>
          <w:szCs w:val="28"/>
        </w:rPr>
      </w:pPr>
    </w:p>
    <w:p w:rsidR="000D3CFD" w:rsidRPr="00974CA4" w:rsidRDefault="000D3CFD" w:rsidP="000D3CFD">
      <w:pPr>
        <w:jc w:val="center"/>
      </w:pPr>
      <w:r w:rsidRPr="00974CA4">
        <w:rPr>
          <w:b/>
          <w:sz w:val="28"/>
          <w:szCs w:val="28"/>
        </w:rPr>
        <w:t xml:space="preserve">Об установлении форм отчетности и пороговых значений </w:t>
      </w:r>
      <w:proofErr w:type="gramStart"/>
      <w:r w:rsidRPr="00974CA4">
        <w:rPr>
          <w:b/>
          <w:sz w:val="28"/>
          <w:szCs w:val="28"/>
        </w:rPr>
        <w:t>показателей эффективности использования недвижимого имущества казны</w:t>
      </w:r>
      <w:proofErr w:type="gramEnd"/>
      <w:r w:rsidRPr="00974CA4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ar-SA"/>
        </w:rPr>
        <w:t>Золотостеп</w:t>
      </w:r>
      <w:r w:rsidRPr="00A51D1E">
        <w:rPr>
          <w:b/>
          <w:bCs/>
          <w:sz w:val="28"/>
          <w:szCs w:val="28"/>
          <w:lang w:eastAsia="ar-SA"/>
        </w:rPr>
        <w:t>ского</w:t>
      </w:r>
      <w:r>
        <w:rPr>
          <w:bCs/>
          <w:sz w:val="28"/>
          <w:szCs w:val="28"/>
          <w:lang w:eastAsia="ar-SA"/>
        </w:rPr>
        <w:t xml:space="preserve"> </w:t>
      </w:r>
      <w:r w:rsidRPr="00974CA4">
        <w:rPr>
          <w:b/>
          <w:sz w:val="28"/>
          <w:szCs w:val="28"/>
        </w:rPr>
        <w:t>муниципального образования С</w:t>
      </w:r>
      <w:r>
        <w:rPr>
          <w:b/>
          <w:sz w:val="28"/>
          <w:szCs w:val="28"/>
        </w:rPr>
        <w:t>о</w:t>
      </w:r>
      <w:r w:rsidRPr="00974CA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ет</w:t>
      </w:r>
      <w:r w:rsidRPr="00974CA4">
        <w:rPr>
          <w:b/>
          <w:sz w:val="28"/>
          <w:szCs w:val="28"/>
        </w:rPr>
        <w:t>ского муниципального района Саратовской области</w:t>
      </w:r>
    </w:p>
    <w:p w:rsidR="000D3CFD" w:rsidRPr="00974CA4" w:rsidRDefault="000D3CFD" w:rsidP="000D3CFD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D3CFD" w:rsidRPr="000D3CFD" w:rsidRDefault="000D3CFD" w:rsidP="000D3CFD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974C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 Общие  положения</w:t>
      </w:r>
    </w:p>
    <w:p w:rsidR="000D3CFD" w:rsidRPr="00974CA4" w:rsidRDefault="000D3CFD" w:rsidP="000D3CFD">
      <w:pPr>
        <w:ind w:firstLine="567"/>
        <w:jc w:val="both"/>
      </w:pPr>
      <w:r w:rsidRPr="00974CA4">
        <w:rPr>
          <w:sz w:val="28"/>
          <w:szCs w:val="28"/>
        </w:rPr>
        <w:t xml:space="preserve">1.1. </w:t>
      </w:r>
      <w:proofErr w:type="gramStart"/>
      <w:r w:rsidRPr="00974CA4"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>муниципального образования Сов</w:t>
      </w:r>
      <w:r>
        <w:rPr>
          <w:sz w:val="28"/>
          <w:szCs w:val="28"/>
        </w:rPr>
        <w:t>ет</w:t>
      </w:r>
      <w:r w:rsidRPr="00974CA4">
        <w:rPr>
          <w:sz w:val="28"/>
          <w:szCs w:val="28"/>
        </w:rPr>
        <w:t xml:space="preserve">ского муниципального района Саратовской области (далее </w:t>
      </w:r>
      <w:r>
        <w:rPr>
          <w:sz w:val="28"/>
          <w:szCs w:val="28"/>
        </w:rPr>
        <w:t xml:space="preserve">– администрация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>муниципального образования) при управлении и распоряжении муниципальным имуществом должна руководствоваться распоряжением Правительство Российской Федерации от 12 октября 2020 г. № 2645-р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  и ежегодно, до 15 июля года, следующего за отчетным, размещать</w:t>
      </w:r>
      <w:proofErr w:type="gramEnd"/>
      <w:r w:rsidRPr="00974CA4">
        <w:rPr>
          <w:sz w:val="28"/>
          <w:szCs w:val="28"/>
        </w:rPr>
        <w:t xml:space="preserve"> в системе «Управление» отчетность об эффективности управления и распоряжения муниципальным имуществом по </w:t>
      </w:r>
      <w:hyperlink r:id="rId6" w:history="1">
        <w:r w:rsidRPr="00974CA4">
          <w:rPr>
            <w:rStyle w:val="a9"/>
            <w:sz w:val="28"/>
            <w:szCs w:val="28"/>
          </w:rPr>
          <w:t>формам</w:t>
        </w:r>
      </w:hyperlink>
      <w:r w:rsidRPr="00974CA4">
        <w:rPr>
          <w:sz w:val="28"/>
          <w:szCs w:val="28"/>
        </w:rPr>
        <w:t>, предусмотренным данным постановлением.</w:t>
      </w:r>
    </w:p>
    <w:p w:rsidR="000D3CFD" w:rsidRPr="000D3CFD" w:rsidRDefault="000D3CFD" w:rsidP="000D3CFD">
      <w:pPr>
        <w:pStyle w:val="1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74C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1.2. Администрация </w:t>
      </w:r>
      <w:r>
        <w:rPr>
          <w:bCs/>
          <w:sz w:val="28"/>
          <w:szCs w:val="28"/>
          <w:lang w:eastAsia="ar-SA"/>
        </w:rPr>
        <w:t>Золотостеп</w:t>
      </w:r>
      <w:r w:rsidRPr="00A51D1E">
        <w:rPr>
          <w:rFonts w:ascii="Times New Roman" w:hAnsi="Times New Roman" w:cs="Times New Roman"/>
          <w:bCs/>
          <w:sz w:val="28"/>
          <w:szCs w:val="28"/>
          <w:lang w:eastAsia="ar-SA"/>
        </w:rPr>
        <w:t>ского</w:t>
      </w:r>
      <w:r>
        <w:rPr>
          <w:bCs/>
          <w:sz w:val="28"/>
          <w:szCs w:val="28"/>
          <w:lang w:eastAsia="ar-SA"/>
        </w:rPr>
        <w:t xml:space="preserve"> </w:t>
      </w:r>
      <w:r w:rsidRPr="00974C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74C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осуществляющая функции по управлению имуществом муниципального образования, проводит ежегодный мониторинг и анализ отчетности, указанной в пункте 1.1. настоящего постановления, в отношении муниципального имущества.</w:t>
      </w:r>
    </w:p>
    <w:p w:rsidR="000D3CFD" w:rsidRDefault="000D3CFD" w:rsidP="000D3CFD">
      <w:pPr>
        <w:jc w:val="center"/>
        <w:rPr>
          <w:b/>
          <w:sz w:val="28"/>
          <w:szCs w:val="28"/>
        </w:rPr>
      </w:pPr>
      <w:r w:rsidRPr="00974CA4">
        <w:rPr>
          <w:b/>
          <w:sz w:val="28"/>
          <w:szCs w:val="28"/>
        </w:rPr>
        <w:t xml:space="preserve">2. Формы отчетности и пороговых значений </w:t>
      </w:r>
      <w:proofErr w:type="gramStart"/>
      <w:r w:rsidRPr="00974CA4">
        <w:rPr>
          <w:b/>
          <w:sz w:val="28"/>
          <w:szCs w:val="28"/>
        </w:rPr>
        <w:t>показателей эффективности использования недвижимого имущества казны</w:t>
      </w:r>
      <w:proofErr w:type="gramEnd"/>
    </w:p>
    <w:p w:rsidR="000D3CFD" w:rsidRPr="00251246" w:rsidRDefault="000D3CFD" w:rsidP="000D3CFD">
      <w:pPr>
        <w:jc w:val="center"/>
        <w:rPr>
          <w:b/>
          <w:kern w:val="2"/>
          <w:sz w:val="28"/>
          <w:szCs w:val="28"/>
        </w:rPr>
      </w:pPr>
      <w:r w:rsidRPr="00974CA4">
        <w:rPr>
          <w:b/>
          <w:sz w:val="28"/>
          <w:szCs w:val="28"/>
        </w:rPr>
        <w:t xml:space="preserve"> </w:t>
      </w:r>
      <w:r w:rsidRPr="00A51D1E">
        <w:rPr>
          <w:b/>
          <w:bCs/>
          <w:sz w:val="28"/>
          <w:szCs w:val="28"/>
          <w:lang w:eastAsia="ar-SA"/>
        </w:rPr>
        <w:t>Краснознаменского</w:t>
      </w:r>
      <w:r>
        <w:rPr>
          <w:bCs/>
          <w:sz w:val="28"/>
          <w:szCs w:val="28"/>
          <w:lang w:eastAsia="ar-SA"/>
        </w:rPr>
        <w:t xml:space="preserve"> </w:t>
      </w:r>
      <w:r w:rsidRPr="00251246">
        <w:rPr>
          <w:b/>
          <w:sz w:val="28"/>
          <w:szCs w:val="28"/>
        </w:rPr>
        <w:t>муниципального образования</w:t>
      </w:r>
    </w:p>
    <w:p w:rsidR="000D3CFD" w:rsidRPr="00974CA4" w:rsidRDefault="000D3CFD" w:rsidP="000D3CFD">
      <w:pPr>
        <w:ind w:firstLine="567"/>
        <w:jc w:val="both"/>
      </w:pPr>
      <w:r w:rsidRPr="00974CA4">
        <w:rPr>
          <w:sz w:val="28"/>
          <w:szCs w:val="28"/>
        </w:rPr>
        <w:t xml:space="preserve">2.1. Анализ эффективности использования недвижимого имущества казны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>муниципального образования осуществляется по следующим показателям эффективности:</w:t>
      </w:r>
    </w:p>
    <w:p w:rsidR="000D3CFD" w:rsidRPr="00974CA4" w:rsidRDefault="000D3CFD" w:rsidP="000D3CFD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 xml:space="preserve">показатели эффективности передачи на безвозмездной основе объектов недвижимого имущества казны публично-правового образования в целях имущественной поддержки некоммерческим организациям - по форме отчетности, предусмотренной </w:t>
      </w:r>
      <w:hyperlink r:id="rId7" w:history="1">
        <w:r w:rsidRPr="00974CA4">
          <w:rPr>
            <w:rStyle w:val="a9"/>
            <w:sz w:val="28"/>
            <w:szCs w:val="28"/>
          </w:rPr>
          <w:t>таблицей 1</w:t>
        </w:r>
      </w:hyperlink>
      <w:r w:rsidRPr="00974CA4">
        <w:rPr>
          <w:sz w:val="28"/>
          <w:szCs w:val="28"/>
        </w:rPr>
        <w:t xml:space="preserve"> приложения к настоящей методике;</w:t>
      </w:r>
    </w:p>
    <w:p w:rsidR="000D3CFD" w:rsidRPr="00974CA4" w:rsidRDefault="000D3CFD" w:rsidP="000D3CFD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 xml:space="preserve">показатели, характеризующие эффективность управления и распоряжения объектами недвижимого имущества казны публично-правового образования, которые включены в перечни имущества, предоставляемого субъектам малого и среднего предпринимательства, - по форме отчетности, предусмотренной </w:t>
      </w:r>
      <w:hyperlink r:id="rId8" w:history="1">
        <w:r w:rsidRPr="00974CA4">
          <w:rPr>
            <w:rStyle w:val="a9"/>
            <w:sz w:val="28"/>
            <w:szCs w:val="28"/>
          </w:rPr>
          <w:t>таблицей 2</w:t>
        </w:r>
      </w:hyperlink>
      <w:r w:rsidRPr="00974CA4">
        <w:rPr>
          <w:sz w:val="28"/>
          <w:szCs w:val="28"/>
        </w:rPr>
        <w:t xml:space="preserve"> приложения к настоящей методике;</w:t>
      </w:r>
    </w:p>
    <w:p w:rsidR="000D3CFD" w:rsidRPr="00974CA4" w:rsidRDefault="000D3CFD" w:rsidP="000D3CFD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 xml:space="preserve">показатели, характеризующие эффективность управления и распоряжения земельными участками, - по форме отчетности, предусмотренной </w:t>
      </w:r>
      <w:hyperlink r:id="rId9" w:history="1">
        <w:r w:rsidRPr="00974CA4">
          <w:rPr>
            <w:rStyle w:val="a9"/>
            <w:sz w:val="28"/>
            <w:szCs w:val="28"/>
          </w:rPr>
          <w:t>таблицей 3</w:t>
        </w:r>
      </w:hyperlink>
      <w:r w:rsidRPr="00974CA4">
        <w:rPr>
          <w:sz w:val="28"/>
          <w:szCs w:val="28"/>
        </w:rPr>
        <w:t xml:space="preserve"> приложения к настоящей методике;</w:t>
      </w:r>
    </w:p>
    <w:p w:rsidR="000D3CFD" w:rsidRPr="00974CA4" w:rsidRDefault="000D3CFD" w:rsidP="000D3CFD">
      <w:pPr>
        <w:numPr>
          <w:ilvl w:val="0"/>
          <w:numId w:val="1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 xml:space="preserve">доля просроченной более чем на 3 квартала задолженности по договорам аренды объектов недвижимого имущества, по которым публично-правовым образованием не проводились мероприятия по взысканию задолженности в </w:t>
      </w:r>
      <w:r w:rsidRPr="00974CA4">
        <w:rPr>
          <w:sz w:val="28"/>
          <w:szCs w:val="28"/>
        </w:rPr>
        <w:lastRenderedPageBreak/>
        <w:t>судебном порядке или не направлялись досудебные претензии по состоянию на 31 декабря отчетного года, в общей сумме арендной платы за отчетный год;</w:t>
      </w:r>
    </w:p>
    <w:p w:rsidR="000D3CFD" w:rsidRPr="00974CA4" w:rsidRDefault="000D3CFD" w:rsidP="000D3CFD">
      <w:pPr>
        <w:numPr>
          <w:ilvl w:val="0"/>
          <w:numId w:val="2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 xml:space="preserve">доля объектов культурного наследия (памятников истории и культуры) народов Российской Федерации, в отношении которых оформлены охранные обязательства в соответствии с Федеральным </w:t>
      </w:r>
      <w:hyperlink r:id="rId10" w:history="1">
        <w:r w:rsidRPr="00974CA4">
          <w:rPr>
            <w:rStyle w:val="a9"/>
            <w:sz w:val="28"/>
            <w:szCs w:val="28"/>
          </w:rPr>
          <w:t>законом</w:t>
        </w:r>
      </w:hyperlink>
      <w:r w:rsidRPr="00974CA4">
        <w:rPr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Федерации", в общем количестве объектов культурного наследия, находящихся в собственности публично-правового образования;</w:t>
      </w:r>
    </w:p>
    <w:p w:rsidR="000D3CFD" w:rsidRPr="00974CA4" w:rsidRDefault="000D3CFD" w:rsidP="000D3CFD">
      <w:pPr>
        <w:numPr>
          <w:ilvl w:val="0"/>
          <w:numId w:val="2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>доля объектов незавершенного строительства, в отношении которых реализована в отчетном году целевая функция согласно планам-графикам, размещенным в государственной автоматизированной информационной системе «Управление», в общем количестве объектов незавершенного строительства, для которых целевая функция была установлена на отчетный год;</w:t>
      </w:r>
    </w:p>
    <w:p w:rsidR="000D3CFD" w:rsidRPr="00974CA4" w:rsidRDefault="000D3CFD" w:rsidP="000D3CFD">
      <w:pPr>
        <w:numPr>
          <w:ilvl w:val="0"/>
          <w:numId w:val="2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974CA4">
        <w:rPr>
          <w:sz w:val="28"/>
          <w:szCs w:val="28"/>
        </w:rPr>
        <w:t>доля объектов недвижимого имущества, вовлеченных в коммерческий оборот в рамках концессионных соглашений, соглашений о государственно-частном (</w:t>
      </w:r>
      <w:proofErr w:type="spellStart"/>
      <w:r w:rsidRPr="00974CA4"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</w:t>
      </w:r>
      <w:r w:rsidRPr="00974C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4CA4">
        <w:rPr>
          <w:sz w:val="28"/>
          <w:szCs w:val="28"/>
        </w:rPr>
        <w:t>частном) партнерстве, инвестиционных договоров, в общем количестве объектов недвижимого имущества, находящихся в собственности публично-правового образования на конец отчетного года.</w:t>
      </w:r>
    </w:p>
    <w:p w:rsidR="000D3CFD" w:rsidRPr="00974CA4" w:rsidRDefault="000D3CFD" w:rsidP="000D3CFD">
      <w:pPr>
        <w:ind w:firstLine="567"/>
        <w:jc w:val="both"/>
      </w:pPr>
      <w:r w:rsidRPr="00974CA4">
        <w:rPr>
          <w:sz w:val="28"/>
          <w:szCs w:val="28"/>
        </w:rPr>
        <w:t xml:space="preserve">2.2. Отчетность составляется по каждому объекту недвижимого имущества казны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>муниципального образования на основе данных бюджетной отчетности.</w:t>
      </w:r>
    </w:p>
    <w:p w:rsidR="000D3CFD" w:rsidRPr="00974CA4" w:rsidRDefault="000D3CFD" w:rsidP="000D3CFD">
      <w:pPr>
        <w:ind w:firstLine="567"/>
        <w:jc w:val="both"/>
      </w:pPr>
      <w:r w:rsidRPr="00974CA4">
        <w:rPr>
          <w:sz w:val="28"/>
          <w:szCs w:val="28"/>
        </w:rPr>
        <w:t xml:space="preserve">2.3. Оценка </w:t>
      </w:r>
      <w:proofErr w:type="gramStart"/>
      <w:r w:rsidRPr="00974CA4">
        <w:rPr>
          <w:sz w:val="28"/>
          <w:szCs w:val="28"/>
        </w:rPr>
        <w:t>показателей эффективности использования объектов недвижимого имущества казны</w:t>
      </w:r>
      <w:proofErr w:type="gramEnd"/>
      <w:r w:rsidRPr="00974CA4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 xml:space="preserve">муниципального образования осуществляется администрацией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 xml:space="preserve">муниципального образования. При </w:t>
      </w:r>
      <w:proofErr w:type="spellStart"/>
      <w:r w:rsidRPr="00974CA4">
        <w:rPr>
          <w:sz w:val="28"/>
          <w:szCs w:val="28"/>
        </w:rPr>
        <w:t>недостижении</w:t>
      </w:r>
      <w:proofErr w:type="spellEnd"/>
      <w:r w:rsidRPr="00974CA4">
        <w:rPr>
          <w:sz w:val="28"/>
          <w:szCs w:val="28"/>
        </w:rPr>
        <w:t xml:space="preserve"> пороговых значений показателей эффективности администрация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 xml:space="preserve">муниципального образования осуществляет подготовку плана повышения эффективности управления и распоряжения недвижимым имуществом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>муниципального образования с указанием конкретных объектов, по которым в плановом периоде может предусматриваться:</w:t>
      </w:r>
    </w:p>
    <w:p w:rsidR="000D3CFD" w:rsidRPr="00974CA4" w:rsidRDefault="000D3CFD" w:rsidP="000D3CFD">
      <w:pPr>
        <w:ind w:firstLine="540"/>
        <w:jc w:val="both"/>
      </w:pPr>
      <w:r w:rsidRPr="00974CA4">
        <w:rPr>
          <w:sz w:val="28"/>
          <w:szCs w:val="28"/>
        </w:rPr>
        <w:t>а) взыскание задолженности;</w:t>
      </w:r>
    </w:p>
    <w:p w:rsidR="000D3CFD" w:rsidRPr="00974CA4" w:rsidRDefault="000D3CFD" w:rsidP="000D3CFD">
      <w:pPr>
        <w:ind w:firstLine="540"/>
        <w:jc w:val="both"/>
      </w:pPr>
      <w:r w:rsidRPr="00974CA4">
        <w:rPr>
          <w:sz w:val="28"/>
          <w:szCs w:val="28"/>
        </w:rPr>
        <w:t>б) вовлечение в инфраструктурные проекты и отношения, связанные с инвестиционной деятельностью;</w:t>
      </w:r>
    </w:p>
    <w:p w:rsidR="000D3CFD" w:rsidRPr="00974CA4" w:rsidRDefault="000D3CFD" w:rsidP="000D3CFD">
      <w:pPr>
        <w:ind w:firstLine="540"/>
        <w:jc w:val="both"/>
      </w:pPr>
      <w:r w:rsidRPr="00974CA4">
        <w:rPr>
          <w:sz w:val="28"/>
          <w:szCs w:val="28"/>
        </w:rPr>
        <w:t>в) закрепление за органами местного самоуправления;</w:t>
      </w:r>
    </w:p>
    <w:p w:rsidR="000D3CFD" w:rsidRPr="00974CA4" w:rsidRDefault="000D3CFD" w:rsidP="000D3CFD">
      <w:pPr>
        <w:ind w:firstLine="540"/>
        <w:jc w:val="both"/>
      </w:pPr>
      <w:r w:rsidRPr="00974CA4">
        <w:rPr>
          <w:sz w:val="28"/>
          <w:szCs w:val="28"/>
        </w:rPr>
        <w:t>г) закрепление за муниципальными унитарными предприятиями и учреждениями на праве хозяйственного ведения или оперативного управления;</w:t>
      </w:r>
    </w:p>
    <w:p w:rsidR="000D3CFD" w:rsidRPr="00974CA4" w:rsidRDefault="000D3CFD" w:rsidP="000D3CFD">
      <w:pPr>
        <w:ind w:firstLine="540"/>
        <w:jc w:val="both"/>
      </w:pPr>
      <w:proofErr w:type="spellStart"/>
      <w:r w:rsidRPr="00974CA4">
        <w:rPr>
          <w:sz w:val="28"/>
          <w:szCs w:val="28"/>
        </w:rPr>
        <w:t>д</w:t>
      </w:r>
      <w:proofErr w:type="spellEnd"/>
      <w:r w:rsidRPr="00974CA4">
        <w:rPr>
          <w:sz w:val="28"/>
          <w:szCs w:val="28"/>
        </w:rPr>
        <w:t>) передача на иной уровень публичной собственности;</w:t>
      </w:r>
    </w:p>
    <w:p w:rsidR="000D3CFD" w:rsidRPr="00974CA4" w:rsidRDefault="000D3CFD" w:rsidP="000D3CFD">
      <w:pPr>
        <w:ind w:firstLine="540"/>
        <w:jc w:val="both"/>
      </w:pPr>
      <w:r w:rsidRPr="00974CA4">
        <w:rPr>
          <w:sz w:val="28"/>
          <w:szCs w:val="28"/>
        </w:rPr>
        <w:t xml:space="preserve">е) мероприятия по предоставлению земельных участков в соответствии с Земельным </w:t>
      </w:r>
      <w:hyperlink r:id="rId11" w:history="1">
        <w:r w:rsidRPr="00974CA4">
          <w:rPr>
            <w:rStyle w:val="a9"/>
            <w:sz w:val="28"/>
            <w:szCs w:val="28"/>
          </w:rPr>
          <w:t>кодексом</w:t>
        </w:r>
      </w:hyperlink>
      <w:r w:rsidRPr="00974CA4">
        <w:rPr>
          <w:sz w:val="28"/>
          <w:szCs w:val="28"/>
        </w:rPr>
        <w:t xml:space="preserve"> Российской Федерации;</w:t>
      </w:r>
    </w:p>
    <w:p w:rsidR="000D3CFD" w:rsidRPr="00974CA4" w:rsidRDefault="000D3CFD" w:rsidP="000D3CFD">
      <w:pPr>
        <w:ind w:firstLine="540"/>
        <w:jc w:val="both"/>
      </w:pPr>
      <w:r w:rsidRPr="00974CA4">
        <w:rPr>
          <w:sz w:val="28"/>
          <w:szCs w:val="28"/>
        </w:rPr>
        <w:t xml:space="preserve">ж) реализация земельных участков в соответствии с Земельным </w:t>
      </w:r>
      <w:hyperlink r:id="rId12" w:history="1">
        <w:r w:rsidRPr="00974CA4">
          <w:rPr>
            <w:rStyle w:val="a9"/>
            <w:sz w:val="28"/>
            <w:szCs w:val="28"/>
          </w:rPr>
          <w:t>кодексом</w:t>
        </w:r>
      </w:hyperlink>
      <w:r w:rsidRPr="00974CA4">
        <w:rPr>
          <w:sz w:val="28"/>
          <w:szCs w:val="28"/>
        </w:rPr>
        <w:t xml:space="preserve"> Российской Федерации;</w:t>
      </w:r>
    </w:p>
    <w:p w:rsidR="000D3CFD" w:rsidRPr="00974CA4" w:rsidRDefault="000D3CFD" w:rsidP="000D3CFD">
      <w:pPr>
        <w:ind w:firstLine="540"/>
        <w:jc w:val="both"/>
      </w:pPr>
      <w:proofErr w:type="spellStart"/>
      <w:r w:rsidRPr="00974CA4">
        <w:rPr>
          <w:sz w:val="28"/>
          <w:szCs w:val="28"/>
        </w:rPr>
        <w:t>з</w:t>
      </w:r>
      <w:proofErr w:type="spellEnd"/>
      <w:r w:rsidRPr="00974CA4">
        <w:rPr>
          <w:sz w:val="28"/>
          <w:szCs w:val="28"/>
        </w:rPr>
        <w:t>) приватизация.</w:t>
      </w:r>
    </w:p>
    <w:p w:rsidR="000D3CFD" w:rsidRDefault="000D3CFD" w:rsidP="000D3CFD">
      <w:pPr>
        <w:ind w:firstLine="540"/>
        <w:jc w:val="both"/>
        <w:rPr>
          <w:sz w:val="28"/>
          <w:szCs w:val="28"/>
        </w:rPr>
      </w:pPr>
      <w:r w:rsidRPr="00974CA4">
        <w:rPr>
          <w:sz w:val="28"/>
          <w:szCs w:val="28"/>
        </w:rPr>
        <w:t xml:space="preserve">25. Анализ эффективности приватизации имущества казны </w:t>
      </w:r>
      <w:r>
        <w:rPr>
          <w:bCs/>
          <w:sz w:val="28"/>
          <w:szCs w:val="28"/>
          <w:lang w:eastAsia="ar-SA"/>
        </w:rPr>
        <w:t xml:space="preserve">Золотостепского </w:t>
      </w:r>
      <w:r w:rsidRPr="00974CA4">
        <w:rPr>
          <w:sz w:val="28"/>
          <w:szCs w:val="28"/>
        </w:rPr>
        <w:t xml:space="preserve">муниципального образования осуществляется по показателям по форме отчетности, предусмотренной </w:t>
      </w:r>
      <w:hyperlink r:id="rId13" w:history="1">
        <w:r w:rsidRPr="00974CA4">
          <w:rPr>
            <w:rStyle w:val="a9"/>
            <w:sz w:val="28"/>
            <w:szCs w:val="28"/>
          </w:rPr>
          <w:t>таблицей 4</w:t>
        </w:r>
      </w:hyperlink>
      <w:r w:rsidRPr="00974CA4">
        <w:rPr>
          <w:sz w:val="28"/>
          <w:szCs w:val="28"/>
        </w:rPr>
        <w:t xml:space="preserve"> приложения к настоящей методике.</w:t>
      </w:r>
    </w:p>
    <w:p w:rsidR="000D3CFD" w:rsidRPr="00974CA4" w:rsidRDefault="000D3CFD" w:rsidP="000D3CFD">
      <w:pPr>
        <w:ind w:firstLine="540"/>
        <w:jc w:val="both"/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lastRenderedPageBreak/>
        <w:t>Таблица 1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bookmarkStart w:id="0" w:name="Par734"/>
      <w:bookmarkEnd w:id="0"/>
      <w:r w:rsidRPr="00974CA4">
        <w:rPr>
          <w:rFonts w:ascii="Times New Roman" w:hAnsi="Times New Roman" w:cs="Times New Roman"/>
          <w:b/>
          <w:sz w:val="22"/>
          <w:szCs w:val="22"/>
        </w:rPr>
        <w:t>ФОРМА ОТЧЕТНОСТИ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по показателям эффективности передачи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на безвозмездной основе объектов недвижимого имущества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казны публично-правового образования в целях имущественной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поддержки некоммерческим организациям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9"/>
        <w:gridCol w:w="1757"/>
        <w:gridCol w:w="1341"/>
        <w:gridCol w:w="1474"/>
        <w:gridCol w:w="20"/>
      </w:tblGrid>
      <w:tr w:rsidR="000D3CFD" w:rsidRPr="00974CA4" w:rsidTr="006D74E3">
        <w:trPr>
          <w:gridAfter w:val="1"/>
          <w:wAfter w:w="20" w:type="dxa"/>
        </w:trPr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 1 ________________ 20__ г.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власти Российской Федерации, субъекта Российской Федерации, орган местного самоуправления, осуществляющий функции и полномочия учредителя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ППО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4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Показатель эффективности (баллов)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Количество нарушений использования имущества, выявленных за отчетный период по результатам проверки: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нарушения выявлены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б) нарушения не выявлены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устраненных нарушений к общему количеству нарушений, выявленных по результатам проверок (за отчетный период):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от 0 до 75% (включительно)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б) более 75% (равно либо отсутствие нарушений)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7541" w:type="dxa"/>
            <w:gridSpan w:val="2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Таблица 2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bookmarkStart w:id="1" w:name="Par789"/>
      <w:bookmarkEnd w:id="1"/>
      <w:r w:rsidRPr="00974CA4">
        <w:rPr>
          <w:rFonts w:ascii="Times New Roman" w:hAnsi="Times New Roman" w:cs="Times New Roman"/>
          <w:b/>
          <w:sz w:val="22"/>
          <w:szCs w:val="22"/>
        </w:rPr>
        <w:t>ФОРМА ОТЧЕТНОСТИ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по показателям, характеризующим эффективность управления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и распоряжения объектами недвижимого имущества казны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публично-правового образования, которые включены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в перечни имущества, предоставляемого субъектам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малого и среднего предпринимательства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  <w:gridCol w:w="20"/>
      </w:tblGrid>
      <w:tr w:rsidR="000D3CFD" w:rsidRPr="00974CA4" w:rsidTr="006D74E3">
        <w:trPr>
          <w:gridAfter w:val="1"/>
          <w:wAfter w:w="20" w:type="dxa"/>
        </w:trPr>
        <w:tc>
          <w:tcPr>
            <w:tcW w:w="4479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 1 ________________ 20__ г.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Орган местного самоуправления, осуществляющий функции и полномочия в сфере имущественных отношений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ППО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5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Показатель эффективности (баллов)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в течение года торгов в отношении каждого объекта казны публично-правового образования </w:t>
            </w:r>
            <w:hyperlink w:anchor="Par836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торги не проводились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б) процедура была проведена и признана несостоявшейся по причине того, что не </w:t>
            </w:r>
            <w:proofErr w:type="gram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подана ни одна заявка/подана</w:t>
            </w:r>
            <w:proofErr w:type="gramEnd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 одна заявка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в) проведена состоявшаяся процедура торгов и по результатам торгов заключен договор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D3CFD" w:rsidRPr="00974CA4" w:rsidTr="006D74E3">
        <w:tc>
          <w:tcPr>
            <w:tcW w:w="7541" w:type="dxa"/>
            <w:gridSpan w:val="2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</w:rPr>
      </w:pPr>
      <w:bookmarkStart w:id="2" w:name="Par836"/>
      <w:bookmarkEnd w:id="2"/>
      <w:r w:rsidRPr="00974CA4">
        <w:rPr>
          <w:rFonts w:ascii="Times New Roman" w:hAnsi="Times New Roman" w:cs="Times New Roman"/>
          <w:sz w:val="22"/>
          <w:szCs w:val="22"/>
        </w:rPr>
        <w:t>&lt;1&gt; Совокупное значение показателя эффективности рассчитывается методом среднего арифметического (сумма всех чисел множества, деленная на их количество).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Таблица 3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bookmarkStart w:id="3" w:name="Par842"/>
      <w:bookmarkEnd w:id="3"/>
      <w:r w:rsidRPr="00974CA4">
        <w:rPr>
          <w:rFonts w:ascii="Times New Roman" w:hAnsi="Times New Roman" w:cs="Times New Roman"/>
          <w:b/>
          <w:sz w:val="22"/>
          <w:szCs w:val="22"/>
        </w:rPr>
        <w:t>ФОРМА ОТЧЕТНОСТИ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по показателям, характеризующим эффективность управления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и распоряжения земельными участками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341"/>
        <w:gridCol w:w="1474"/>
        <w:gridCol w:w="20"/>
      </w:tblGrid>
      <w:tr w:rsidR="000D3CFD" w:rsidRPr="00974CA4" w:rsidTr="006D74E3">
        <w:trPr>
          <w:gridAfter w:val="1"/>
          <w:wAfter w:w="20" w:type="dxa"/>
        </w:trPr>
        <w:tc>
          <w:tcPr>
            <w:tcW w:w="4479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 1 ________________ 20__ г.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Орган местного самоуправления, осуществляющий функции в сфере имущественных отношений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ППО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6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Показатель эффективности (баллов)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Процент сокращения площади земельных участков муниципальной казны, не вовлеченных в хозяйственный оборот, по отношению к площади земельных участков муниципальной казны в 2012 году (за исключением земельных участков, изъятых из оборота и ограниченных в обороте) </w:t>
            </w:r>
            <w:hyperlink w:anchor="Par893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плановые показатели не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б) плановые показатели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земельных участков, находящихся в государственной (муниципальной) собственности, в отношении которых сформированы и уточнены границы, а также внесены сведения в Единый государственный реестр недвижимости </w:t>
            </w:r>
            <w:hyperlink w:anchor="Par893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 (га):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плановые показатели не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б) плановые показатели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7541" w:type="dxa"/>
            <w:gridSpan w:val="2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</w:rPr>
      </w:pPr>
      <w:bookmarkStart w:id="4" w:name="Par892"/>
      <w:bookmarkStart w:id="5" w:name="Par893"/>
      <w:bookmarkEnd w:id="4"/>
      <w:bookmarkEnd w:id="5"/>
      <w:r w:rsidRPr="00974CA4">
        <w:rPr>
          <w:rFonts w:ascii="Times New Roman" w:hAnsi="Times New Roman" w:cs="Times New Roman"/>
          <w:sz w:val="22"/>
          <w:szCs w:val="22"/>
        </w:rPr>
        <w:t>&lt;2&gt; Органам местного самоуправления рекомендуется установить значение показателя.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right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Таблица 4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bookmarkStart w:id="6" w:name="Par899"/>
      <w:bookmarkEnd w:id="6"/>
      <w:r w:rsidRPr="00974CA4">
        <w:rPr>
          <w:rFonts w:ascii="Times New Roman" w:hAnsi="Times New Roman" w:cs="Times New Roman"/>
          <w:b/>
          <w:sz w:val="22"/>
          <w:szCs w:val="22"/>
        </w:rPr>
        <w:t>ФОРМА ОТЧЕТНОСТИ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по показателям, характеризующим эффективность приватизации</w:t>
      </w:r>
    </w:p>
    <w:p w:rsidR="000D3CFD" w:rsidRPr="00974CA4" w:rsidRDefault="000D3CFD" w:rsidP="000D3CFD">
      <w:pPr>
        <w:pStyle w:val="ConsPlusNormal"/>
        <w:jc w:val="center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b/>
          <w:sz w:val="22"/>
          <w:szCs w:val="22"/>
        </w:rPr>
        <w:t>объектов муниципального имущества казны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1020"/>
        <w:gridCol w:w="1474"/>
        <w:gridCol w:w="654"/>
        <w:gridCol w:w="20"/>
      </w:tblGrid>
      <w:tr w:rsidR="000D3CFD" w:rsidRPr="00974CA4" w:rsidTr="006D74E3">
        <w:trPr>
          <w:gridAfter w:val="1"/>
          <w:wAfter w:w="20" w:type="dxa"/>
        </w:trPr>
        <w:tc>
          <w:tcPr>
            <w:tcW w:w="5839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 1 ________________ 20__ г.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Орган местного самоуправления, осуществляющий функции и полномочия в сфере имущественных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ППО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7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917"/>
        <w:gridCol w:w="1474"/>
      </w:tblGrid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Показатели эффективности (баллов)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Доля продаж пакетов акций акционерных обществ, подлежащих продаже в соответствии с прогнозным планом (программой) приватизации </w:t>
            </w:r>
            <w:hyperlink w:anchor="Par949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плановые показатели не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б) плановые показатели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 xml:space="preserve">Доля продаж объектов имущества муниципальной казны, подлежащих продаже в соответствии с прогнозным планом (программой) приватизации (за исключением пакетов акций акционерных обществ) </w:t>
            </w:r>
            <w:hyperlink w:anchor="Par949" w:history="1">
              <w:r w:rsidRPr="00974CA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а) плановые показатели не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D3CFD" w:rsidRPr="00974CA4" w:rsidTr="006D74E3">
        <w:tc>
          <w:tcPr>
            <w:tcW w:w="62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б) плановые показатели достигнуты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D3CFD" w:rsidRPr="00974CA4" w:rsidTr="006D74E3">
        <w:tc>
          <w:tcPr>
            <w:tcW w:w="7541" w:type="dxa"/>
            <w:gridSpan w:val="2"/>
            <w:shd w:val="clear" w:color="auto" w:fill="auto"/>
          </w:tcPr>
          <w:p w:rsidR="000D3CFD" w:rsidRPr="00974CA4" w:rsidRDefault="000D3CFD" w:rsidP="006D74E3">
            <w:pPr>
              <w:pStyle w:val="ConsPlusNormal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Максимальное значение показателя эффективности</w:t>
            </w:r>
          </w:p>
        </w:tc>
        <w:tc>
          <w:tcPr>
            <w:tcW w:w="1474" w:type="dxa"/>
            <w:shd w:val="clear" w:color="auto" w:fill="auto"/>
          </w:tcPr>
          <w:p w:rsidR="000D3CFD" w:rsidRPr="00974CA4" w:rsidRDefault="000D3CFD" w:rsidP="006D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CA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</w:rPr>
      </w:pPr>
      <w:r w:rsidRPr="00974CA4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</w:rPr>
      </w:pPr>
      <w:bookmarkStart w:id="7" w:name="Par949"/>
      <w:bookmarkEnd w:id="7"/>
      <w:r w:rsidRPr="00974CA4">
        <w:rPr>
          <w:rFonts w:ascii="Times New Roman" w:hAnsi="Times New Roman" w:cs="Times New Roman"/>
          <w:sz w:val="22"/>
          <w:szCs w:val="22"/>
        </w:rPr>
        <w:t>&lt;1&gt; Органам местного самоуправления рекомендуется установить значение показателя.</w:t>
      </w: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pStyle w:val="ConsPlusNormal"/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Pr="00974CA4" w:rsidRDefault="000D3CFD" w:rsidP="000D3CFD">
      <w:pPr>
        <w:jc w:val="both"/>
        <w:rPr>
          <w:sz w:val="22"/>
          <w:szCs w:val="22"/>
        </w:rPr>
      </w:pPr>
    </w:p>
    <w:p w:rsidR="000D3CFD" w:rsidRDefault="000D3CFD"/>
    <w:sectPr w:rsidR="000D3CFD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Vrinda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3CFD"/>
    <w:rsid w:val="00070A34"/>
    <w:rsid w:val="000D3CFD"/>
    <w:rsid w:val="00422334"/>
    <w:rsid w:val="004B1345"/>
    <w:rsid w:val="006F4A0D"/>
    <w:rsid w:val="00715F90"/>
    <w:rsid w:val="00AB7302"/>
    <w:rsid w:val="00B8546F"/>
    <w:rsid w:val="00E23C4E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CFD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D3CF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D3C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D3CFD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D3C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CF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D3CFD"/>
    <w:rPr>
      <w:color w:val="0000FF"/>
      <w:u w:val="single"/>
    </w:rPr>
  </w:style>
  <w:style w:type="paragraph" w:styleId="aa">
    <w:name w:val="No Spacing"/>
    <w:qFormat/>
    <w:rsid w:val="000D3CF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0D3C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0D3CFD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196"/>
      <w:sz w:val="22"/>
      <w:szCs w:val="22"/>
      <w:lang w:eastAsia="zh-CN"/>
    </w:rPr>
  </w:style>
  <w:style w:type="paragraph" w:styleId="ab">
    <w:name w:val="Normal (Web)"/>
    <w:basedOn w:val="a"/>
    <w:unhideWhenUsed/>
    <w:rsid w:val="000D3C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3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17" Type="http://schemas.openxmlformats.org/officeDocument/2006/relationships/hyperlink" Target="https://login.consultant.ru/link/?req=doc&amp;base=RZR&amp;n=149911&amp;date=20.11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49911&amp;date=20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1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149911&amp;date=20.11.2020" TargetMode="External"/><Relationship Id="rId10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4" Type="http://schemas.openxmlformats.org/officeDocument/2006/relationships/hyperlink" Target="https://login.consultant.ru/link/?req=doc&amp;base=RZR&amp;n=149911&amp;date=20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2008</Words>
  <Characters>11448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2022-06-20T05:48:00Z</dcterms:created>
  <dcterms:modified xsi:type="dcterms:W3CDTF">2022-06-20T05:48:00Z</dcterms:modified>
</cp:coreProperties>
</file>